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3543"/>
        <w:gridCol w:w="6946"/>
      </w:tblGrid>
      <w:tr>
        <w:trPr>
          <w:trHeight w:val="538" w:hRule="atLeast"/>
        </w:trPr>
        <w:tc>
          <w:tcPr>
            <w:tcW w:w="3543" w:type="dxa"/>
            <w:tcBorders>
              <w:top w:val="single" w:sz="12" w:space="0" w:color="000000"/>
              <w:left w:val="single" w:sz="12" w:space="0" w:color="000000"/>
              <w:bottom w:val="single" w:sz="12" w:space="0" w:color="000000"/>
              <w:right w:val="dashSmallGap" w:sz="8" w:space="0" w:color="000000"/>
            </w:tcBorders>
            <w:shd w:color="auto" w:fill="auto" w:val="clear"/>
          </w:tcPr>
          <w:p>
            <w:pPr>
              <w:pStyle w:val="Normal"/>
              <w:widowControl w:val="false"/>
              <w:rPr>
                <w:b/>
                <w:b/>
                <w:color w:val="215868" w:themeColor="accent5" w:themeShade="80"/>
                <w:lang w:val="en-GB"/>
              </w:rPr>
            </w:pPr>
            <w:r>
              <w:rPr>
                <w:b/>
                <w:color w:val="215868" w:themeColor="accent5" w:themeShade="80"/>
                <w:lang w:val="en-GB"/>
              </w:rPr>
              <w:t>Course title</w:t>
            </w:r>
          </w:p>
        </w:tc>
        <w:tc>
          <w:tcPr>
            <w:tcW w:w="6946" w:type="dxa"/>
            <w:tcBorders>
              <w:top w:val="single" w:sz="12" w:space="0" w:color="000000"/>
              <w:left w:val="dashSmallGap" w:sz="8" w:space="0" w:color="000000"/>
              <w:bottom w:val="single" w:sz="12" w:space="0" w:color="000000"/>
              <w:right w:val="single" w:sz="12" w:space="0" w:color="000000"/>
            </w:tcBorders>
            <w:shd w:color="auto" w:fill="auto" w:val="clear"/>
          </w:tcPr>
          <w:p>
            <w:pPr>
              <w:pStyle w:val="Normal"/>
              <w:widowControl w:val="false"/>
              <w:rPr>
                <w:b/>
                <w:b/>
                <w:bCs/>
                <w:lang w:val="en-GB"/>
              </w:rPr>
            </w:pPr>
            <w:r>
              <w:rPr>
                <w:b/>
                <w:bCs/>
                <w:lang w:val="en-GB"/>
              </w:rPr>
              <w:t>Picturing quantum weirdness</w:t>
            </w:r>
          </w:p>
        </w:tc>
      </w:tr>
      <w:tr>
        <w:trPr>
          <w:trHeight w:val="359" w:hRule="atLeast"/>
        </w:trPr>
        <w:tc>
          <w:tcPr>
            <w:tcW w:w="3543" w:type="dxa"/>
            <w:tcBorders>
              <w:top w:val="single" w:sz="12" w:space="0" w:color="000000"/>
              <w:left w:val="single" w:sz="12" w:space="0" w:color="000000"/>
              <w:bottom w:val="single" w:sz="12" w:space="0" w:color="000000"/>
              <w:right w:val="dashSmallGap" w:sz="8" w:space="0" w:color="000000"/>
            </w:tcBorders>
            <w:shd w:color="auto" w:fill="auto" w:val="clear"/>
          </w:tcPr>
          <w:p>
            <w:pPr>
              <w:pStyle w:val="Normal"/>
              <w:widowControl w:val="false"/>
              <w:rPr>
                <w:b/>
                <w:b/>
                <w:color w:val="215868" w:themeColor="accent5" w:themeShade="80"/>
                <w:lang w:val="en-GB"/>
              </w:rPr>
            </w:pPr>
            <w:r>
              <w:rPr>
                <w:b/>
                <w:color w:val="215868" w:themeColor="accent5" w:themeShade="80"/>
                <w:lang w:val="en-GB"/>
              </w:rPr>
              <w:t>School name and date</w:t>
            </w:r>
          </w:p>
        </w:tc>
        <w:tc>
          <w:tcPr>
            <w:tcW w:w="6946" w:type="dxa"/>
            <w:tcBorders>
              <w:top w:val="single" w:sz="12" w:space="0" w:color="000000"/>
              <w:left w:val="dashSmallGap" w:sz="8" w:space="0" w:color="000000"/>
              <w:bottom w:val="single" w:sz="12" w:space="0" w:color="000000"/>
              <w:right w:val="single" w:sz="12" w:space="0" w:color="000000"/>
            </w:tcBorders>
            <w:shd w:color="auto" w:fill="auto" w:val="clear"/>
          </w:tcPr>
          <w:p>
            <w:pPr>
              <w:pStyle w:val="Normal"/>
              <w:widowControl w:val="false"/>
              <w:rPr>
                <w:lang w:val="en-GB"/>
              </w:rPr>
            </w:pPr>
            <w:r>
              <w:rPr>
                <w:lang w:val="en-GB"/>
              </w:rPr>
              <w:t xml:space="preserve">Quantum vs classical, </w:t>
            </w:r>
            <w:r>
              <w:rPr>
                <w:color w:val="auto"/>
                <w:lang w:val="en-GB"/>
              </w:rPr>
              <w:t>August 7th – August 11th and August 14th , August 16th – August 19th (10 days) 9.00 a.m. – 4 p.m. UTC +2</w:t>
            </w:r>
          </w:p>
        </w:tc>
      </w:tr>
      <w:tr>
        <w:trPr>
          <w:trHeight w:val="520" w:hRule="atLeast"/>
        </w:trPr>
        <w:tc>
          <w:tcPr>
            <w:tcW w:w="3543" w:type="dxa"/>
            <w:tcBorders>
              <w:top w:val="single" w:sz="12" w:space="0" w:color="000000"/>
              <w:left w:val="single" w:sz="12" w:space="0" w:color="000000"/>
              <w:bottom w:val="single" w:sz="12" w:space="0" w:color="000000"/>
              <w:right w:val="dashSmallGap" w:sz="8" w:space="0" w:color="000000"/>
            </w:tcBorders>
          </w:tcPr>
          <w:p>
            <w:pPr>
              <w:pStyle w:val="Normal"/>
              <w:widowControl w:val="false"/>
              <w:rPr>
                <w:b/>
                <w:b/>
                <w:color w:val="215868" w:themeColor="accent5" w:themeShade="80"/>
                <w:lang w:val="en-GB"/>
              </w:rPr>
            </w:pPr>
            <w:r>
              <w:rPr>
                <w:b/>
                <w:color w:val="215868" w:themeColor="accent5" w:themeShade="80"/>
                <w:lang w:val="en-GB"/>
              </w:rPr>
              <w:t>Teaching staff</w:t>
            </w:r>
          </w:p>
        </w:tc>
        <w:tc>
          <w:tcPr>
            <w:tcW w:w="6946" w:type="dxa"/>
            <w:tcBorders>
              <w:top w:val="single" w:sz="12" w:space="0" w:color="000000"/>
              <w:left w:val="dashSmallGap" w:sz="8" w:space="0" w:color="000000"/>
              <w:bottom w:val="single" w:sz="12" w:space="0" w:color="000000"/>
              <w:right w:val="single" w:sz="12" w:space="0" w:color="000000"/>
            </w:tcBorders>
          </w:tcPr>
          <w:p>
            <w:pPr>
              <w:pStyle w:val="Normal"/>
              <w:widowControl w:val="false"/>
              <w:rPr>
                <w:lang w:val="en-GB"/>
              </w:rPr>
            </w:pPr>
            <w:r>
              <w:rPr>
                <w:lang w:val="en-GB"/>
              </w:rPr>
              <w:t>Dr John Selby, Dr hab. Ana Belen Sainz</w:t>
            </w:r>
          </w:p>
        </w:tc>
      </w:tr>
      <w:tr>
        <w:trPr>
          <w:trHeight w:val="482" w:hRule="atLeast"/>
        </w:trPr>
        <w:tc>
          <w:tcPr>
            <w:tcW w:w="10489" w:type="dxa"/>
            <w:gridSpan w:val="2"/>
            <w:tcBorders>
              <w:top w:val="single" w:sz="12" w:space="0" w:color="000000"/>
              <w:left w:val="single" w:sz="12" w:space="0" w:color="000000"/>
              <w:bottom w:val="dashSmallGap" w:sz="8" w:space="0" w:color="000000"/>
              <w:right w:val="single" w:sz="12" w:space="0" w:color="000000"/>
            </w:tcBorders>
            <w:shd w:color="auto" w:fill="auto" w:val="clear"/>
          </w:tcPr>
          <w:p>
            <w:pPr>
              <w:pStyle w:val="Normal"/>
              <w:widowControl w:val="false"/>
              <w:rPr>
                <w:color w:val="215868" w:themeColor="accent5" w:themeShade="80"/>
                <w:lang w:val="en-GB"/>
              </w:rPr>
            </w:pPr>
            <w:r>
              <w:rPr>
                <w:b/>
                <w:color w:val="215868" w:themeColor="accent5" w:themeShade="80"/>
                <w:lang w:val="en-GB"/>
              </w:rPr>
              <w:t>Forms of classes, the realization and number of hours</w:t>
            </w:r>
          </w:p>
        </w:tc>
      </w:tr>
      <w:tr>
        <w:trPr>
          <w:trHeight w:val="552" w:hRule="atLeast"/>
        </w:trPr>
        <w:tc>
          <w:tcPr>
            <w:tcW w:w="3543" w:type="dxa"/>
            <w:tcBorders>
              <w:top w:val="dashSmallGap" w:sz="8" w:space="0" w:color="000000"/>
              <w:left w:val="single" w:sz="12" w:space="0" w:color="000000"/>
              <w:bottom w:val="dashSmallGap" w:sz="8" w:space="0" w:color="000000"/>
              <w:right w:val="dashSmallGap" w:sz="8" w:space="0" w:color="000000"/>
            </w:tcBorders>
            <w:shd w:color="auto" w:fill="auto" w:val="clear"/>
          </w:tcPr>
          <w:p>
            <w:pPr>
              <w:pStyle w:val="ListParagraph"/>
              <w:widowControl w:val="false"/>
              <w:numPr>
                <w:ilvl w:val="0"/>
                <w:numId w:val="1"/>
              </w:numPr>
              <w:rPr>
                <w:b/>
                <w:b/>
                <w:color w:val="215868" w:themeColor="accent5" w:themeShade="80"/>
                <w:lang w:val="en-GB"/>
              </w:rPr>
            </w:pPr>
            <w:r>
              <w:rPr>
                <w:b/>
                <w:color w:val="215868" w:themeColor="accent5" w:themeShade="80"/>
                <w:lang w:val="en-GB"/>
              </w:rPr>
              <w:t>Forms of classes</w:t>
            </w:r>
          </w:p>
        </w:tc>
        <w:tc>
          <w:tcPr>
            <w:tcW w:w="6946" w:type="dxa"/>
            <w:tcBorders>
              <w:top w:val="dashSmallGap" w:sz="8" w:space="0" w:color="000000"/>
              <w:left w:val="dashSmallGap" w:sz="8" w:space="0" w:color="000000"/>
              <w:bottom w:val="dashSmallGap" w:sz="8" w:space="0" w:color="000000"/>
              <w:right w:val="single" w:sz="12" w:space="0" w:color="000000"/>
            </w:tcBorders>
            <w:shd w:color="auto" w:fill="auto" w:val="clear"/>
          </w:tcPr>
          <w:p>
            <w:pPr>
              <w:pStyle w:val="Normal"/>
              <w:widowControl w:val="false"/>
              <w:rPr>
                <w:bCs/>
                <w:lang w:val="en-GB"/>
              </w:rPr>
            </w:pPr>
            <w:r>
              <w:rPr>
                <w:bCs/>
                <w:lang w:val="en-GB"/>
              </w:rPr>
              <w:t>Lectures and problem-solving sessions.</w:t>
            </w:r>
          </w:p>
        </w:tc>
      </w:tr>
      <w:tr>
        <w:trPr>
          <w:trHeight w:val="418" w:hRule="atLeast"/>
        </w:trPr>
        <w:tc>
          <w:tcPr>
            <w:tcW w:w="3543" w:type="dxa"/>
            <w:tcBorders>
              <w:top w:val="dashSmallGap" w:sz="8" w:space="0" w:color="000000"/>
              <w:left w:val="single" w:sz="12" w:space="0" w:color="000000"/>
              <w:bottom w:val="dashSmallGap" w:sz="8" w:space="0" w:color="000000"/>
              <w:right w:val="dashSmallGap" w:sz="8" w:space="0" w:color="000000"/>
            </w:tcBorders>
            <w:shd w:color="auto" w:fill="auto" w:val="clear"/>
          </w:tcPr>
          <w:p>
            <w:pPr>
              <w:pStyle w:val="ListParagraph"/>
              <w:widowControl w:val="false"/>
              <w:numPr>
                <w:ilvl w:val="0"/>
                <w:numId w:val="1"/>
              </w:numPr>
              <w:rPr>
                <w:b/>
                <w:b/>
                <w:color w:val="215868" w:themeColor="accent5" w:themeShade="80"/>
                <w:lang w:val="en-GB"/>
              </w:rPr>
            </w:pPr>
            <w:r>
              <w:rPr>
                <w:b/>
                <w:color w:val="215868" w:themeColor="accent5" w:themeShade="80"/>
                <w:lang w:val="en-GB"/>
              </w:rPr>
              <w:t>The realization of activities</w:t>
            </w:r>
          </w:p>
        </w:tc>
        <w:tc>
          <w:tcPr>
            <w:tcW w:w="6946" w:type="dxa"/>
            <w:tcBorders>
              <w:top w:val="dashSmallGap" w:sz="8" w:space="0" w:color="000000"/>
              <w:left w:val="dashSmallGap" w:sz="8" w:space="0" w:color="000000"/>
              <w:bottom w:val="dashSmallGap" w:sz="8" w:space="0" w:color="000000"/>
              <w:right w:val="single" w:sz="12" w:space="0" w:color="000000"/>
            </w:tcBorders>
            <w:shd w:color="auto" w:fill="auto" w:val="clear"/>
          </w:tcPr>
          <w:p>
            <w:pPr>
              <w:pStyle w:val="Normal"/>
              <w:widowControl w:val="false"/>
              <w:rPr>
                <w:bCs/>
                <w:lang w:val="en-GB"/>
              </w:rPr>
            </w:pPr>
            <w:r>
              <w:rPr>
                <w:bCs/>
                <w:lang w:val="en-GB"/>
              </w:rPr>
              <w:t>In person and, if necessary, a small online component.</w:t>
            </w:r>
          </w:p>
        </w:tc>
      </w:tr>
      <w:tr>
        <w:trPr>
          <w:trHeight w:val="502" w:hRule="atLeast"/>
        </w:trPr>
        <w:tc>
          <w:tcPr>
            <w:tcW w:w="3543" w:type="dxa"/>
            <w:tcBorders>
              <w:top w:val="dashSmallGap" w:sz="8" w:space="0" w:color="000000"/>
              <w:left w:val="single" w:sz="12" w:space="0" w:color="000000"/>
              <w:bottom w:val="single" w:sz="12" w:space="0" w:color="000000"/>
              <w:right w:val="dashSmallGap" w:sz="8" w:space="0" w:color="000000"/>
            </w:tcBorders>
            <w:shd w:color="auto" w:fill="auto" w:val="clear"/>
          </w:tcPr>
          <w:p>
            <w:pPr>
              <w:pStyle w:val="ListParagraph"/>
              <w:widowControl w:val="false"/>
              <w:numPr>
                <w:ilvl w:val="0"/>
                <w:numId w:val="1"/>
              </w:numPr>
              <w:rPr>
                <w:b/>
                <w:b/>
                <w:color w:val="215868" w:themeColor="accent5" w:themeShade="80"/>
                <w:lang w:val="en-GB"/>
              </w:rPr>
            </w:pPr>
            <w:r>
              <w:rPr>
                <w:b/>
                <w:color w:val="215868" w:themeColor="accent5" w:themeShade="80"/>
                <w:lang w:val="en-GB"/>
              </w:rPr>
              <w:t>Number of hours</w:t>
            </w:r>
          </w:p>
        </w:tc>
        <w:tc>
          <w:tcPr>
            <w:tcW w:w="6946" w:type="dxa"/>
            <w:tcBorders>
              <w:top w:val="dashSmallGap" w:sz="8" w:space="0" w:color="000000"/>
              <w:left w:val="dashSmallGap" w:sz="8" w:space="0" w:color="000000"/>
              <w:bottom w:val="single" w:sz="12" w:space="0" w:color="000000"/>
              <w:right w:val="single" w:sz="12" w:space="0" w:color="000000"/>
            </w:tcBorders>
            <w:shd w:color="auto" w:fill="auto" w:val="clear"/>
          </w:tcPr>
          <w:p>
            <w:pPr>
              <w:pStyle w:val="Normal"/>
              <w:widowControl w:val="false"/>
              <w:rPr>
                <w:bCs/>
                <w:lang w:val="en-GB"/>
              </w:rPr>
            </w:pPr>
            <w:r>
              <w:rPr>
                <w:bCs/>
                <w:lang w:val="en-GB"/>
              </w:rPr>
              <w:t>60 (40 hrs of lectures and 20 hrs of problem solving sessions)</w:t>
            </w:r>
          </w:p>
        </w:tc>
      </w:tr>
      <w:tr>
        <w:trPr>
          <w:trHeight w:val="281" w:hRule="atLeast"/>
        </w:trPr>
        <w:tc>
          <w:tcPr>
            <w:tcW w:w="10489" w:type="dxa"/>
            <w:gridSpan w:val="2"/>
            <w:tcBorders>
              <w:top w:val="single" w:sz="12" w:space="0" w:color="000000"/>
              <w:left w:val="single" w:sz="12" w:space="0" w:color="000000"/>
              <w:bottom w:val="dashSmallGap" w:sz="8" w:space="0" w:color="000000"/>
              <w:right w:val="single" w:sz="12" w:space="0" w:color="000000"/>
            </w:tcBorders>
          </w:tcPr>
          <w:p>
            <w:pPr>
              <w:pStyle w:val="Normal"/>
              <w:widowControl w:val="false"/>
              <w:rPr>
                <w:b/>
                <w:b/>
                <w:color w:val="215868" w:themeColor="accent5" w:themeShade="80"/>
                <w:lang w:val="en-GB"/>
              </w:rPr>
            </w:pPr>
            <w:r>
              <w:rPr>
                <w:b/>
                <w:color w:val="215868" w:themeColor="accent5" w:themeShade="80"/>
                <w:lang w:val="en-GB"/>
              </w:rPr>
              <w:t>Suggested prerequisite knowledge</w:t>
            </w:r>
          </w:p>
        </w:tc>
      </w:tr>
      <w:tr>
        <w:trPr>
          <w:trHeight w:val="630" w:hRule="atLeast"/>
        </w:trPr>
        <w:tc>
          <w:tcPr>
            <w:tcW w:w="10489" w:type="dxa"/>
            <w:gridSpan w:val="2"/>
            <w:tcBorders>
              <w:top w:val="dashSmallGap" w:sz="8" w:space="0" w:color="000000"/>
              <w:left w:val="single" w:sz="12" w:space="0" w:color="000000"/>
              <w:bottom w:val="single" w:sz="12" w:space="0" w:color="000000"/>
              <w:right w:val="single" w:sz="12" w:space="0" w:color="000000"/>
            </w:tcBorders>
          </w:tcPr>
          <w:p>
            <w:pPr>
              <w:pStyle w:val="Normal"/>
              <w:widowControl w:val="false"/>
              <w:rPr>
                <w:bCs/>
                <w:lang w:val="en-GB"/>
              </w:rPr>
            </w:pPr>
            <w:r>
              <w:rPr>
                <w:bCs/>
                <w:lang w:val="en-GB"/>
              </w:rPr>
            </w:r>
          </w:p>
          <w:p>
            <w:pPr>
              <w:pStyle w:val="Normal"/>
              <w:widowControl w:val="false"/>
              <w:suppressAutoHyphens w:val="true"/>
              <w:bidi w:val="0"/>
              <w:spacing w:lineRule="auto" w:line="240" w:before="0" w:after="0"/>
              <w:ind w:left="360" w:right="449" w:hanging="0"/>
              <w:jc w:val="both"/>
              <w:rPr/>
            </w:pPr>
            <w:r>
              <w:rPr>
                <w:bCs/>
                <w:lang w:val="en-GB"/>
              </w:rPr>
              <w:t>No prior knowledge is necessary. We welcome enthusiasm and an open mind to learn a new way of thinking about the deepest questions in modern physics that have been challenging us for more than a century.</w:t>
            </w:r>
          </w:p>
          <w:p>
            <w:pPr>
              <w:pStyle w:val="Normal"/>
              <w:widowControl w:val="false"/>
              <w:rPr>
                <w:bCs/>
                <w:lang w:val="en-GB"/>
              </w:rPr>
            </w:pPr>
            <w:r>
              <w:rPr>
                <w:bCs/>
                <w:lang w:val="en-GB"/>
              </w:rPr>
            </w:r>
          </w:p>
        </w:tc>
      </w:tr>
      <w:tr>
        <w:trPr>
          <w:trHeight w:val="322" w:hRule="atLeast"/>
        </w:trPr>
        <w:tc>
          <w:tcPr>
            <w:tcW w:w="10489" w:type="dxa"/>
            <w:gridSpan w:val="2"/>
            <w:tcBorders>
              <w:top w:val="single" w:sz="12" w:space="0" w:color="000000"/>
              <w:left w:val="single" w:sz="12" w:space="0" w:color="000000"/>
              <w:bottom w:val="dashSmallGap" w:sz="8" w:space="0" w:color="000000"/>
              <w:right w:val="single" w:sz="12" w:space="0" w:color="000000"/>
            </w:tcBorders>
            <w:shd w:color="auto" w:fill="FFFFFF" w:val="clear"/>
          </w:tcPr>
          <w:p>
            <w:pPr>
              <w:pStyle w:val="Normal"/>
              <w:widowControl w:val="false"/>
              <w:rPr>
                <w:b/>
                <w:b/>
                <w:color w:val="215868" w:themeColor="accent5" w:themeShade="80"/>
                <w:lang w:val="en-GB"/>
              </w:rPr>
            </w:pPr>
            <w:r>
              <w:rPr>
                <w:b/>
                <w:color w:val="215868" w:themeColor="accent5" w:themeShade="80"/>
                <w:lang w:val="en-GB"/>
              </w:rPr>
              <w:t>Brief description of the course</w:t>
            </w:r>
          </w:p>
        </w:tc>
      </w:tr>
      <w:tr>
        <w:trPr>
          <w:trHeight w:val="637" w:hRule="atLeast"/>
        </w:trPr>
        <w:tc>
          <w:tcPr>
            <w:tcW w:w="10489" w:type="dxa"/>
            <w:gridSpan w:val="2"/>
            <w:tcBorders>
              <w:top w:val="dashSmallGap" w:sz="8" w:space="0" w:color="000000"/>
              <w:left w:val="single" w:sz="12" w:space="0" w:color="000000"/>
              <w:bottom w:val="single" w:sz="12" w:space="0" w:color="000000"/>
              <w:right w:val="single" w:sz="12" w:space="0" w:color="000000"/>
            </w:tcBorders>
            <w:shd w:color="auto" w:fill="FFFFFF" w:val="clear"/>
          </w:tcPr>
          <w:p>
            <w:pPr>
              <w:pStyle w:val="Normal"/>
              <w:widowControl w:val="false"/>
              <w:rPr>
                <w:bCs/>
                <w:lang w:val="en-GB"/>
              </w:rPr>
            </w:pPr>
            <w:r>
              <w:rPr>
                <w:bCs/>
                <w:lang w:val="en-GB"/>
              </w:rPr>
            </w:r>
          </w:p>
          <w:p>
            <w:pPr>
              <w:pStyle w:val="Normal"/>
              <w:widowControl w:val="false"/>
              <w:suppressAutoHyphens w:val="true"/>
              <w:bidi w:val="0"/>
              <w:spacing w:lineRule="auto" w:line="240" w:before="0" w:after="0"/>
              <w:ind w:left="360" w:right="540" w:hanging="0"/>
              <w:jc w:val="both"/>
              <w:rPr/>
            </w:pPr>
            <w:r>
              <w:rPr>
                <w:bCs/>
                <w:lang w:val="en-GB"/>
              </w:rPr>
              <w:t>During the first week of the course, the students will be given a broad overview of the field of quantum information theory. What is special about this, however, is the fact that it will be taught from an exciting new perspective, that is, via pictures! This means that there are no mathematical prerequisites for the course, and that all of the ideas can be presented in an intuitive, but still fully rigorous, way. This new way of thinking about quantum theory is not only useful as a pedagogical tool, but it is also being widely used in quantum research and in quantum industry (e.g., Google, IBM, Quantinuum, among others). In the second week we will use many of these pictorial ideas, but applied to a much more focused topic. Specifically, the students will be introduced to a modern perspective on how the nonclassicality of quantum theory can be understood as a resource. They will understand how to mathematically formalise the notion of a resource, and then how various quantum phenomena (such as the Nobel-Prize winning quantum “nonlocality”) can be formally understood as resources underpinning emerging quantum technologies.</w:t>
            </w:r>
          </w:p>
          <w:p>
            <w:pPr>
              <w:pStyle w:val="Normal"/>
              <w:widowControl w:val="false"/>
              <w:rPr>
                <w:bCs/>
                <w:lang w:val="en-GB"/>
              </w:rPr>
            </w:pPr>
            <w:r>
              <w:rPr>
                <w:bCs/>
                <w:lang w:val="en-GB"/>
              </w:rPr>
            </w:r>
          </w:p>
        </w:tc>
      </w:tr>
      <w:tr>
        <w:trPr>
          <w:trHeight w:val="308" w:hRule="atLeast"/>
        </w:trPr>
        <w:tc>
          <w:tcPr>
            <w:tcW w:w="10489" w:type="dxa"/>
            <w:gridSpan w:val="2"/>
            <w:tcBorders>
              <w:top w:val="single" w:sz="12" w:space="0" w:color="000000"/>
              <w:left w:val="single" w:sz="12" w:space="0" w:color="000000"/>
              <w:bottom w:val="dashSmallGap" w:sz="8" w:space="0" w:color="000000"/>
              <w:right w:val="single" w:sz="12" w:space="0" w:color="000000"/>
            </w:tcBorders>
          </w:tcPr>
          <w:p>
            <w:pPr>
              <w:pStyle w:val="Normal"/>
              <w:widowControl w:val="false"/>
              <w:rPr>
                <w:b/>
                <w:b/>
                <w:color w:val="215868" w:themeColor="accent5" w:themeShade="80"/>
                <w:lang w:val="en-GB"/>
              </w:rPr>
            </w:pPr>
            <w:r>
              <w:rPr>
                <w:b/>
                <w:color w:val="215868" w:themeColor="accent5" w:themeShade="80"/>
                <w:lang w:val="en-GB"/>
              </w:rPr>
              <w:t>Course contents</w:t>
            </w:r>
          </w:p>
        </w:tc>
      </w:tr>
      <w:tr>
        <w:trPr>
          <w:trHeight w:val="847" w:hRule="atLeast"/>
        </w:trPr>
        <w:tc>
          <w:tcPr>
            <w:tcW w:w="10489" w:type="dxa"/>
            <w:gridSpan w:val="2"/>
            <w:tcBorders>
              <w:top w:val="dashSmallGap" w:sz="8" w:space="0" w:color="000000"/>
              <w:left w:val="single" w:sz="12" w:space="0" w:color="000000"/>
              <w:bottom w:val="single" w:sz="12" w:space="0" w:color="000000"/>
              <w:right w:val="single" w:sz="12" w:space="0" w:color="000000"/>
            </w:tcBorders>
          </w:tcPr>
          <w:p>
            <w:pPr>
              <w:pStyle w:val="Normal"/>
              <w:widowControl w:val="false"/>
              <w:rPr>
                <w:bCs/>
                <w:lang w:val="en-GB"/>
              </w:rPr>
            </w:pPr>
            <w:r>
              <w:rPr>
                <w:bCs/>
                <w:lang w:val="en-GB"/>
              </w:rPr>
            </w:r>
          </w:p>
          <w:p>
            <w:pPr>
              <w:pStyle w:val="Normal"/>
              <w:widowControl w:val="false"/>
              <w:suppressAutoHyphens w:val="true"/>
              <w:bidi w:val="0"/>
              <w:spacing w:lineRule="auto" w:line="240" w:before="0" w:after="0"/>
              <w:ind w:left="360" w:right="269" w:hanging="0"/>
              <w:jc w:val="left"/>
              <w:rPr>
                <w:bCs/>
                <w:lang w:val="en-GB"/>
              </w:rPr>
            </w:pPr>
            <w:r>
              <w:rPr>
                <w:bCs/>
                <w:lang w:val="en-GB"/>
              </w:rPr>
              <w:t>1. Diagrammatic mathematics; zx-calculus and process theories.</w:t>
            </w:r>
          </w:p>
          <w:p>
            <w:pPr>
              <w:pStyle w:val="Normal"/>
              <w:widowControl w:val="false"/>
              <w:suppressAutoHyphens w:val="true"/>
              <w:bidi w:val="0"/>
              <w:spacing w:lineRule="auto" w:line="240" w:before="0" w:after="0"/>
              <w:ind w:left="360" w:right="269" w:hanging="0"/>
              <w:jc w:val="left"/>
              <w:rPr>
                <w:bCs/>
                <w:lang w:val="en-GB"/>
              </w:rPr>
            </w:pPr>
            <w:r>
              <w:rPr>
                <w:bCs/>
                <w:lang w:val="en-GB"/>
              </w:rPr>
              <w:t>2. Quantum phenomena from a diagrammatic perspective: entanglement, teleportation, uncertainty.</w:t>
            </w:r>
          </w:p>
          <w:p>
            <w:pPr>
              <w:pStyle w:val="Normal"/>
              <w:widowControl w:val="false"/>
              <w:suppressAutoHyphens w:val="true"/>
              <w:bidi w:val="0"/>
              <w:spacing w:lineRule="auto" w:line="240" w:before="0" w:after="0"/>
              <w:ind w:left="360" w:right="269" w:hanging="0"/>
              <w:jc w:val="left"/>
              <w:rPr>
                <w:bCs/>
                <w:lang w:val="en-GB"/>
              </w:rPr>
            </w:pPr>
            <w:r>
              <w:rPr>
                <w:bCs/>
                <w:lang w:val="en-GB"/>
              </w:rPr>
              <w:t>3. Quantum foundations from a diagrammatic perspective: non-classicality, Bell’s theorem, generalised contextuality. Foundational discussion on what this all means.</w:t>
            </w:r>
          </w:p>
          <w:p>
            <w:pPr>
              <w:pStyle w:val="Normal"/>
              <w:widowControl w:val="false"/>
              <w:suppressAutoHyphens w:val="true"/>
              <w:bidi w:val="0"/>
              <w:spacing w:lineRule="auto" w:line="240" w:before="0" w:after="0"/>
              <w:ind w:left="360" w:right="269" w:hanging="0"/>
              <w:jc w:val="left"/>
              <w:rPr>
                <w:bCs/>
                <w:lang w:val="en-GB"/>
              </w:rPr>
            </w:pPr>
            <w:r>
              <w:rPr>
                <w:bCs/>
                <w:lang w:val="en-GB"/>
              </w:rPr>
              <w:t>4. Quantum computation from a diagrammatic perspective: quantum circuits, measurement-based quantum computing,</w:t>
            </w:r>
            <w:r>
              <w:rPr>
                <w:b w:val="false"/>
                <w:bCs w:val="false"/>
                <w:lang w:val="en-GB"/>
              </w:rPr>
              <w:t xml:space="preserve"> error correction, circuit optimisation, quantum algorithms with quantum advantage.</w:t>
            </w:r>
          </w:p>
          <w:p>
            <w:pPr>
              <w:pStyle w:val="Normal"/>
              <w:widowControl w:val="false"/>
              <w:suppressAutoHyphens w:val="true"/>
              <w:bidi w:val="0"/>
              <w:spacing w:lineRule="auto" w:line="240" w:before="0" w:after="0"/>
              <w:ind w:left="360" w:right="269" w:hanging="0"/>
              <w:jc w:val="left"/>
              <w:rPr>
                <w:bCs/>
                <w:lang w:val="en-GB"/>
              </w:rPr>
            </w:pPr>
            <w:r>
              <w:rPr>
                <w:bCs/>
                <w:lang w:val="en-GB"/>
              </w:rPr>
              <w:t>5. Quantum communication from a diagrammatic perspective: quantum key distribution.</w:t>
            </w:r>
          </w:p>
          <w:p>
            <w:pPr>
              <w:pStyle w:val="Normal"/>
              <w:widowControl w:val="false"/>
              <w:suppressAutoHyphens w:val="true"/>
              <w:bidi w:val="0"/>
              <w:spacing w:lineRule="auto" w:line="240" w:before="0" w:after="0"/>
              <w:ind w:left="360" w:right="269" w:hanging="0"/>
              <w:jc w:val="left"/>
              <w:rPr>
                <w:b w:val="false"/>
                <w:b w:val="false"/>
                <w:bCs w:val="false"/>
                <w:lang w:val="en-GB"/>
              </w:rPr>
            </w:pPr>
            <w:r>
              <w:rPr>
                <w:b w:val="false"/>
                <w:bCs w:val="false"/>
                <w:lang w:val="en-GB"/>
              </w:rPr>
              <w:t>6. Kinds of non-classical resources and phenomena.</w:t>
            </w:r>
          </w:p>
          <w:p>
            <w:pPr>
              <w:pStyle w:val="Normal"/>
              <w:widowControl w:val="false"/>
              <w:suppressAutoHyphens w:val="true"/>
              <w:bidi w:val="0"/>
              <w:spacing w:lineRule="auto" w:line="240" w:before="0" w:after="0"/>
              <w:ind w:left="360" w:right="269" w:hanging="0"/>
              <w:jc w:val="left"/>
              <w:rPr>
                <w:bCs w:val="false"/>
                <w:lang w:val="en-GB"/>
              </w:rPr>
            </w:pPr>
            <w:r>
              <w:rPr>
                <w:bCs w:val="false"/>
                <w:lang w:val="en-GB"/>
              </w:rPr>
              <w:t xml:space="preserve">7. Hilbert space from diagrams. </w:t>
            </w:r>
            <w:r>
              <w:rPr>
                <w:b w:val="false"/>
                <w:bCs w:val="false"/>
                <w:lang w:val="en-GB"/>
              </w:rPr>
              <w:t>Quantum theory: a geometric view underpinned by the diagrammatic language.</w:t>
            </w:r>
          </w:p>
          <w:p>
            <w:pPr>
              <w:pStyle w:val="Normal"/>
              <w:widowControl w:val="false"/>
              <w:suppressAutoHyphens w:val="true"/>
              <w:bidi w:val="0"/>
              <w:spacing w:lineRule="auto" w:line="240" w:before="0" w:after="0"/>
              <w:ind w:left="360" w:right="269" w:hanging="0"/>
              <w:jc w:val="left"/>
              <w:rPr>
                <w:bCs w:val="false"/>
                <w:lang w:val="en-GB"/>
              </w:rPr>
            </w:pPr>
            <w:r>
              <w:rPr>
                <w:b w:val="false"/>
                <w:bCs w:val="false"/>
                <w:lang w:val="en-GB"/>
              </w:rPr>
              <w:t>8. Resource theories: a diagrammatic process-theoretic approach.</w:t>
            </w:r>
          </w:p>
          <w:p>
            <w:pPr>
              <w:pStyle w:val="Normal"/>
              <w:widowControl w:val="false"/>
              <w:suppressAutoHyphens w:val="true"/>
              <w:bidi w:val="0"/>
              <w:spacing w:lineRule="auto" w:line="240" w:before="0" w:after="0"/>
              <w:ind w:left="360" w:right="269" w:hanging="0"/>
              <w:jc w:val="left"/>
              <w:rPr>
                <w:b w:val="false"/>
                <w:b w:val="false"/>
                <w:bCs w:val="false"/>
                <w:lang w:val="en-GB"/>
              </w:rPr>
            </w:pPr>
            <w:r>
              <w:rPr>
                <w:b w:val="false"/>
                <w:bCs w:val="false"/>
                <w:lang w:val="en-GB"/>
              </w:rPr>
              <w:t>9. Kinds of non-classical resources. Resource theories of non-classicality. Semidefinite programs and linear programs as resource-conversion tests.</w:t>
            </w:r>
          </w:p>
          <w:p>
            <w:pPr>
              <w:pStyle w:val="Normal"/>
              <w:widowControl w:val="false"/>
              <w:suppressAutoHyphens w:val="true"/>
              <w:bidi w:val="0"/>
              <w:spacing w:lineRule="auto" w:line="240" w:before="0" w:after="0"/>
              <w:ind w:left="360" w:right="269" w:hanging="0"/>
              <w:jc w:val="left"/>
              <w:rPr>
                <w:bCs/>
                <w:lang w:val="en-GB"/>
              </w:rPr>
            </w:pPr>
            <w:r>
              <w:rPr>
                <w:bCs/>
                <w:lang w:val="en-GB"/>
              </w:rPr>
            </w:r>
          </w:p>
          <w:p>
            <w:pPr>
              <w:pStyle w:val="Normal"/>
              <w:widowControl w:val="false"/>
              <w:rPr>
                <w:bCs/>
                <w:lang w:val="en-GB"/>
              </w:rPr>
            </w:pPr>
            <w:r>
              <w:rPr>
                <w:bCs/>
                <w:lang w:val="en-GB"/>
              </w:rPr>
            </w:r>
          </w:p>
        </w:tc>
      </w:tr>
      <w:tr>
        <w:trPr>
          <w:trHeight w:val="254" w:hRule="atLeast"/>
        </w:trPr>
        <w:tc>
          <w:tcPr>
            <w:tcW w:w="10489" w:type="dxa"/>
            <w:gridSpan w:val="2"/>
            <w:tcBorders>
              <w:top w:val="single" w:sz="12" w:space="0" w:color="000000"/>
              <w:left w:val="single" w:sz="12" w:space="0" w:color="000000"/>
              <w:bottom w:val="dashSmallGap" w:sz="8" w:space="0" w:color="000000"/>
              <w:right w:val="single" w:sz="12" w:space="0" w:color="000000"/>
            </w:tcBorders>
          </w:tcPr>
          <w:p>
            <w:pPr>
              <w:pStyle w:val="Normal"/>
              <w:widowControl w:val="false"/>
              <w:rPr>
                <w:b/>
                <w:b/>
                <w:color w:val="215868" w:themeColor="accent5" w:themeShade="80"/>
                <w:lang w:val="en-GB"/>
              </w:rPr>
            </w:pPr>
            <w:r>
              <w:rPr>
                <w:b/>
                <w:color w:val="215868" w:themeColor="accent5" w:themeShade="80"/>
                <w:lang w:val="en-GB"/>
              </w:rPr>
              <w:t>Literature</w:t>
            </w:r>
          </w:p>
        </w:tc>
      </w:tr>
      <w:tr>
        <w:trPr>
          <w:trHeight w:val="952" w:hRule="atLeast"/>
        </w:trPr>
        <w:tc>
          <w:tcPr>
            <w:tcW w:w="10489" w:type="dxa"/>
            <w:gridSpan w:val="2"/>
            <w:tcBorders>
              <w:top w:val="dashSmallGap" w:sz="8" w:space="0" w:color="000000"/>
              <w:left w:val="single" w:sz="12" w:space="0" w:color="000000"/>
              <w:bottom w:val="single" w:sz="12" w:space="0" w:color="000000"/>
              <w:right w:val="single" w:sz="12" w:space="0" w:color="000000"/>
            </w:tcBorders>
          </w:tcPr>
          <w:p>
            <w:pPr>
              <w:pStyle w:val="Normal"/>
              <w:widowControl w:val="false"/>
              <w:rPr>
                <w:bCs/>
                <w:lang w:val="en-GB"/>
              </w:rPr>
            </w:pPr>
            <w:r>
              <w:rPr>
                <w:bCs/>
                <w:lang w:val="en-GB"/>
              </w:rPr>
            </w:r>
          </w:p>
          <w:p>
            <w:pPr>
              <w:pStyle w:val="Normal"/>
              <w:widowControl w:val="false"/>
              <w:suppressAutoHyphens w:val="true"/>
              <w:bidi w:val="0"/>
              <w:spacing w:lineRule="auto" w:line="240" w:before="0" w:after="0"/>
              <w:ind w:left="360" w:right="89" w:hanging="0"/>
              <w:jc w:val="left"/>
              <w:rPr>
                <w:sz w:val="20"/>
                <w:szCs w:val="20"/>
              </w:rPr>
            </w:pPr>
            <w:r>
              <w:rPr>
                <w:bCs/>
                <w:sz w:val="20"/>
                <w:szCs w:val="20"/>
                <w:lang w:val="en-GB"/>
              </w:rPr>
              <w:t xml:space="preserve">1. </w:t>
            </w:r>
            <w:r>
              <w:rPr>
                <w:bCs/>
                <w:i/>
                <w:iCs/>
                <w:sz w:val="20"/>
                <w:szCs w:val="20"/>
                <w:lang w:val="en-GB"/>
              </w:rPr>
              <w:t>Quantum in Pictures: A New Way to Understand the Quantum World</w:t>
            </w:r>
            <w:r>
              <w:rPr>
                <w:bCs/>
                <w:sz w:val="20"/>
                <w:szCs w:val="20"/>
                <w:lang w:val="en-GB"/>
              </w:rPr>
              <w:t>. B. Coecke and S. Gogioso. Cambridge Quantum. ISNB-10 1739214714. (2023)</w:t>
            </w:r>
          </w:p>
          <w:p>
            <w:pPr>
              <w:pStyle w:val="Normal"/>
              <w:widowControl w:val="false"/>
              <w:suppressAutoHyphens w:val="true"/>
              <w:bidi w:val="0"/>
              <w:spacing w:lineRule="auto" w:line="240" w:before="0" w:after="0"/>
              <w:ind w:left="360" w:right="89" w:hanging="0"/>
              <w:jc w:val="left"/>
              <w:rPr>
                <w:sz w:val="20"/>
                <w:szCs w:val="20"/>
              </w:rPr>
            </w:pPr>
            <w:r>
              <w:rPr>
                <w:bCs/>
                <w:sz w:val="20"/>
                <w:szCs w:val="20"/>
                <w:lang w:val="en-GB"/>
              </w:rPr>
              <w:t xml:space="preserve">2. </w:t>
            </w:r>
            <w:r>
              <w:rPr>
                <w:bCs/>
                <w:i/>
                <w:iCs/>
                <w:sz w:val="20"/>
                <w:szCs w:val="20"/>
                <w:lang w:val="en-GB"/>
              </w:rPr>
              <w:t>Picturing Quantum Processes: A First Course in Quantum Theory and Diagrammatic Reasoning</w:t>
            </w:r>
            <w:r>
              <w:rPr>
                <w:bCs/>
                <w:sz w:val="20"/>
                <w:szCs w:val="20"/>
                <w:lang w:val="en-GB"/>
              </w:rPr>
              <w:t>. B. Coecke and A. Kissinger. Cambridge University Press. DOI=10.1017/9781316219317. (2017).</w:t>
            </w:r>
          </w:p>
          <w:p>
            <w:pPr>
              <w:pStyle w:val="Normal"/>
              <w:widowControl w:val="false"/>
              <w:suppressAutoHyphens w:val="true"/>
              <w:bidi w:val="0"/>
              <w:spacing w:lineRule="auto" w:line="240" w:before="0" w:after="0"/>
              <w:ind w:left="360" w:right="89" w:hanging="0"/>
              <w:jc w:val="left"/>
              <w:rPr>
                <w:sz w:val="20"/>
                <w:szCs w:val="20"/>
              </w:rPr>
            </w:pPr>
            <w:r>
              <w:rPr>
                <w:bCs/>
                <w:sz w:val="20"/>
                <w:szCs w:val="20"/>
                <w:lang w:val="en-GB"/>
              </w:rPr>
              <w:t xml:space="preserve">3. </w:t>
            </w:r>
            <w:r>
              <w:rPr>
                <w:bCs/>
                <w:i/>
                <w:iCs/>
                <w:sz w:val="20"/>
                <w:szCs w:val="20"/>
                <w:lang w:val="en-GB"/>
              </w:rPr>
              <w:t>Kindergarden quantum mechanics graduates... or how I learned to stop gluing LEGO together and love the ZX-calculus</w:t>
            </w:r>
            <w:r>
              <w:rPr>
                <w:bCs/>
                <w:sz w:val="20"/>
                <w:szCs w:val="20"/>
                <w:lang w:val="en-GB"/>
              </w:rPr>
              <w:t>. B. Coecke, D. Horsman, A. Kissinger, Q. Wang. Theoretical Computer Science 897, 1 (2022).</w:t>
            </w:r>
          </w:p>
          <w:p>
            <w:pPr>
              <w:pStyle w:val="Normal"/>
              <w:widowControl w:val="false"/>
              <w:suppressAutoHyphens w:val="true"/>
              <w:bidi w:val="0"/>
              <w:spacing w:lineRule="auto" w:line="240" w:before="0" w:after="0"/>
              <w:ind w:left="360" w:right="89" w:hanging="0"/>
              <w:jc w:val="left"/>
              <w:rPr>
                <w:sz w:val="20"/>
                <w:szCs w:val="20"/>
              </w:rPr>
            </w:pPr>
            <w:r>
              <w:rPr>
                <w:bCs/>
                <w:sz w:val="20"/>
                <w:szCs w:val="20"/>
                <w:lang w:val="en-GB"/>
              </w:rPr>
              <w:t xml:space="preserve">4. </w:t>
            </w:r>
            <w:r>
              <w:rPr>
                <w:bCs/>
                <w:i/>
                <w:iCs/>
                <w:sz w:val="20"/>
                <w:szCs w:val="20"/>
                <w:lang w:val="en-GB"/>
              </w:rPr>
              <w:t>ZX-calculus for the working quantum computer scientist</w:t>
            </w:r>
            <w:r>
              <w:rPr>
                <w:bCs/>
                <w:sz w:val="20"/>
                <w:szCs w:val="20"/>
                <w:lang w:val="en-GB"/>
              </w:rPr>
              <w:t>. John van de Wetering. ArXiv:2012.13966 (2020).</w:t>
            </w:r>
          </w:p>
          <w:p>
            <w:pPr>
              <w:pStyle w:val="Normal"/>
              <w:widowControl w:val="false"/>
              <w:suppressAutoHyphens w:val="true"/>
              <w:bidi w:val="0"/>
              <w:spacing w:lineRule="auto" w:line="240" w:before="0" w:after="0"/>
              <w:ind w:left="360" w:right="89" w:hanging="0"/>
              <w:jc w:val="left"/>
              <w:rPr>
                <w:sz w:val="20"/>
                <w:szCs w:val="20"/>
              </w:rPr>
            </w:pPr>
            <w:r>
              <w:rPr>
                <w:bCs/>
                <w:sz w:val="20"/>
                <w:szCs w:val="20"/>
                <w:lang w:val="en-GB"/>
              </w:rPr>
              <w:t xml:space="preserve">5. </w:t>
            </w:r>
            <w:r>
              <w:rPr>
                <w:bCs/>
                <w:i/>
                <w:iCs/>
                <w:sz w:val="20"/>
                <w:szCs w:val="20"/>
                <w:lang w:val="en-GB"/>
              </w:rPr>
              <w:t>A mathematical theory of resources</w:t>
            </w:r>
            <w:r>
              <w:rPr>
                <w:bCs/>
                <w:sz w:val="20"/>
                <w:szCs w:val="20"/>
                <w:lang w:val="en-GB"/>
              </w:rPr>
              <w:t>. B. Coecke, T. Fritz, and R. W. Spekkens. Information and Computation 250, 59 (2016).</w:t>
            </w:r>
          </w:p>
          <w:p>
            <w:pPr>
              <w:pStyle w:val="Normal"/>
              <w:widowControl w:val="false"/>
              <w:suppressAutoHyphens w:val="true"/>
              <w:bidi w:val="0"/>
              <w:spacing w:lineRule="auto" w:line="240" w:before="0" w:after="0"/>
              <w:ind w:left="360" w:right="89" w:hanging="0"/>
              <w:jc w:val="left"/>
              <w:rPr>
                <w:sz w:val="20"/>
                <w:szCs w:val="20"/>
              </w:rPr>
            </w:pPr>
            <w:r>
              <w:rPr>
                <w:bCs/>
                <w:sz w:val="20"/>
                <w:szCs w:val="20"/>
                <w:lang w:val="en-GB"/>
              </w:rPr>
              <w:t xml:space="preserve">6. </w:t>
            </w:r>
            <w:r>
              <w:rPr>
                <w:bCs/>
                <w:i/>
                <w:iCs/>
                <w:sz w:val="20"/>
                <w:szCs w:val="20"/>
                <w:lang w:val="en-GB"/>
              </w:rPr>
              <w:t>Quantifying Bell: the Resource Theory of Nonclassicality of Common-Cause Boxes</w:t>
            </w:r>
            <w:r>
              <w:rPr>
                <w:bCs/>
                <w:sz w:val="20"/>
                <w:szCs w:val="20"/>
                <w:lang w:val="en-GB"/>
              </w:rPr>
              <w:t>. E. Wolfe, D. Schmid, A. B. Sainz, R. Kunjwal, and R. W. Spekkens. Quantum 4, 280 (2020).</w:t>
            </w:r>
          </w:p>
          <w:p>
            <w:pPr>
              <w:pStyle w:val="Normal"/>
              <w:widowControl w:val="false"/>
              <w:suppressAutoHyphens w:val="true"/>
              <w:bidi w:val="0"/>
              <w:spacing w:lineRule="auto" w:line="240" w:before="0" w:after="0"/>
              <w:ind w:left="360" w:right="89" w:hanging="0"/>
              <w:jc w:val="left"/>
              <w:rPr>
                <w:sz w:val="20"/>
                <w:szCs w:val="20"/>
              </w:rPr>
            </w:pPr>
            <w:r>
              <w:rPr>
                <w:bCs/>
                <w:sz w:val="20"/>
                <w:szCs w:val="20"/>
                <w:lang w:val="en-GB"/>
              </w:rPr>
              <w:t xml:space="preserve">7. </w:t>
            </w:r>
            <w:r>
              <w:rPr>
                <w:bCs/>
                <w:i/>
                <w:iCs/>
                <w:sz w:val="20"/>
                <w:szCs w:val="20"/>
                <w:lang w:val="en-GB"/>
              </w:rPr>
              <w:t>Quantifying EPR: the resource theory of nonclassicality of common-cause assemblages</w:t>
            </w:r>
            <w:r>
              <w:rPr>
                <w:bCs/>
                <w:sz w:val="20"/>
                <w:szCs w:val="20"/>
                <w:lang w:val="en-GB"/>
              </w:rPr>
              <w:t>. B. Zjawin, D. Schmid, M. J. Hoban, and A. B. Sainz. Quantum 7, 926 (2023).</w:t>
            </w:r>
          </w:p>
          <w:p>
            <w:pPr>
              <w:pStyle w:val="Normal"/>
              <w:widowControl w:val="false"/>
              <w:rPr>
                <w:bCs/>
                <w:lang w:val="en-GB"/>
              </w:rPr>
            </w:pPr>
            <w:r>
              <w:rPr>
                <w:bCs/>
                <w:lang w:val="en-GB"/>
              </w:rPr>
            </w:r>
          </w:p>
        </w:tc>
      </w:tr>
      <w:tr>
        <w:trPr>
          <w:trHeight w:val="652" w:hRule="atLeast"/>
        </w:trPr>
        <w:tc>
          <w:tcPr>
            <w:tcW w:w="3543" w:type="dxa"/>
            <w:tcBorders>
              <w:top w:val="single" w:sz="12" w:space="0" w:color="000000"/>
              <w:left w:val="single" w:sz="12" w:space="0" w:color="000000"/>
              <w:bottom w:val="single" w:sz="12" w:space="0" w:color="000000"/>
              <w:right w:val="dashSmallGap" w:sz="8" w:space="0" w:color="000000"/>
            </w:tcBorders>
          </w:tcPr>
          <w:p>
            <w:pPr>
              <w:pStyle w:val="Normal"/>
              <w:widowControl w:val="false"/>
              <w:rPr>
                <w:color w:val="215868" w:themeColor="accent5" w:themeShade="80"/>
                <w:lang w:val="en-GB"/>
              </w:rPr>
            </w:pPr>
            <w:r>
              <w:rPr>
                <w:b/>
                <w:color w:val="215868" w:themeColor="accent5" w:themeShade="80"/>
                <w:lang w:val="en-GB"/>
              </w:rPr>
              <w:t>Contact</w:t>
            </w:r>
          </w:p>
        </w:tc>
        <w:tc>
          <w:tcPr>
            <w:tcW w:w="6946" w:type="dxa"/>
            <w:tcBorders>
              <w:top w:val="single" w:sz="12" w:space="0" w:color="000000"/>
              <w:left w:val="dashSmallGap" w:sz="8" w:space="0" w:color="000000"/>
              <w:bottom w:val="single" w:sz="12" w:space="0" w:color="000000"/>
              <w:right w:val="single" w:sz="12" w:space="0" w:color="000000"/>
            </w:tcBorders>
          </w:tcPr>
          <w:p>
            <w:pPr>
              <w:pStyle w:val="Normal"/>
              <w:widowControl w:val="false"/>
              <w:rPr>
                <w:lang w:val="en-GB"/>
              </w:rPr>
            </w:pPr>
            <w:r>
              <w:rPr>
                <w:lang w:val="en-GB"/>
              </w:rPr>
              <w:t>ana.sainz@ug.edu.pl</w:t>
            </w:r>
          </w:p>
        </w:tc>
      </w:tr>
    </w:tbl>
    <w:p>
      <w:pPr>
        <w:pStyle w:val="Normal"/>
        <w:spacing w:before="240" w:after="120"/>
        <w:rPr>
          <w:b/>
          <w:b/>
          <w:lang w:val="en-GB"/>
        </w:rPr>
      </w:pPr>
      <w:r>
        <w:rPr>
          <w:b/>
          <w:lang w:val="en-GB"/>
        </w:rPr>
      </w:r>
    </w:p>
    <w:p>
      <w:pPr>
        <w:pStyle w:val="Normal"/>
        <w:rPr>
          <w:lang w:val="en-GB"/>
        </w:rPr>
      </w:pPr>
      <w:r>
        <w:rPr/>
      </w:r>
    </w:p>
    <w:sectPr>
      <w:footerReference w:type="default" r:id="rId2"/>
      <w:type w:val="nextPage"/>
      <w:pgSz w:w="11906" w:h="16838"/>
      <w:pgMar w:left="720" w:right="720" w:gutter="0" w:header="0" w:top="680" w:footer="709" w:bottom="76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4536"/>
        <w:tab w:val="left" w:pos="9072" w:leader="none"/>
      </w:tabs>
      <w:rPr/>
    </w:pPr>
    <w:r>
      <w:rPr/>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574" w:hanging="360"/>
      </w:pPr>
      <w:rPr/>
    </w:lvl>
    <w:lvl w:ilvl="1">
      <w:start w:val="1"/>
      <w:numFmt w:val="lowerLetter"/>
      <w:lvlText w:val="%2."/>
      <w:lvlJc w:val="left"/>
      <w:pPr>
        <w:tabs>
          <w:tab w:val="num" w:pos="0"/>
        </w:tabs>
        <w:ind w:left="1294" w:hanging="360"/>
      </w:pPr>
      <w:rPr/>
    </w:lvl>
    <w:lvl w:ilvl="2">
      <w:start w:val="1"/>
      <w:numFmt w:val="lowerRoman"/>
      <w:lvlText w:val="%3."/>
      <w:lvlJc w:val="right"/>
      <w:pPr>
        <w:tabs>
          <w:tab w:val="num" w:pos="0"/>
        </w:tabs>
        <w:ind w:left="2014" w:hanging="180"/>
      </w:pPr>
      <w:rPr/>
    </w:lvl>
    <w:lvl w:ilvl="3">
      <w:start w:val="1"/>
      <w:numFmt w:val="decimal"/>
      <w:lvlText w:val="%4."/>
      <w:lvlJc w:val="left"/>
      <w:pPr>
        <w:tabs>
          <w:tab w:val="num" w:pos="0"/>
        </w:tabs>
        <w:ind w:left="2734" w:hanging="360"/>
      </w:pPr>
      <w:rPr/>
    </w:lvl>
    <w:lvl w:ilvl="4">
      <w:start w:val="1"/>
      <w:numFmt w:val="lowerLetter"/>
      <w:lvlText w:val="%5."/>
      <w:lvlJc w:val="left"/>
      <w:pPr>
        <w:tabs>
          <w:tab w:val="num" w:pos="0"/>
        </w:tabs>
        <w:ind w:left="3454" w:hanging="360"/>
      </w:pPr>
      <w:rPr/>
    </w:lvl>
    <w:lvl w:ilvl="5">
      <w:start w:val="1"/>
      <w:numFmt w:val="lowerRoman"/>
      <w:lvlText w:val="%6."/>
      <w:lvlJc w:val="right"/>
      <w:pPr>
        <w:tabs>
          <w:tab w:val="num" w:pos="0"/>
        </w:tabs>
        <w:ind w:left="4174" w:hanging="180"/>
      </w:pPr>
      <w:rPr/>
    </w:lvl>
    <w:lvl w:ilvl="6">
      <w:start w:val="1"/>
      <w:numFmt w:val="decimal"/>
      <w:lvlText w:val="%7."/>
      <w:lvlJc w:val="left"/>
      <w:pPr>
        <w:tabs>
          <w:tab w:val="num" w:pos="0"/>
        </w:tabs>
        <w:ind w:left="4894" w:hanging="360"/>
      </w:pPr>
      <w:rPr/>
    </w:lvl>
    <w:lvl w:ilvl="7">
      <w:start w:val="1"/>
      <w:numFmt w:val="lowerLetter"/>
      <w:lvlText w:val="%8."/>
      <w:lvlJc w:val="left"/>
      <w:pPr>
        <w:tabs>
          <w:tab w:val="num" w:pos="0"/>
        </w:tabs>
        <w:ind w:left="5614" w:hanging="360"/>
      </w:pPr>
      <w:rPr/>
    </w:lvl>
    <w:lvl w:ilvl="8">
      <w:start w:val="1"/>
      <w:numFmt w:val="lowerRoman"/>
      <w:lvlText w:val="%9."/>
      <w:lvlJc w:val="right"/>
      <w:pPr>
        <w:tabs>
          <w:tab w:val="num" w:pos="0"/>
        </w:tabs>
        <w:ind w:left="6334"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172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Heading1">
    <w:name w:val="Heading 1"/>
    <w:basedOn w:val="Heading"/>
    <w:next w:val="TextBody"/>
    <w:qFormat/>
    <w:pPr>
      <w:spacing w:before="240" w:after="120"/>
      <w:outlineLvl w:val="0"/>
    </w:pPr>
    <w:rPr>
      <w:rFonts w:ascii="Liberation Serif" w:hAnsi="Liberation Serif" w:eastAsia="Tahoma" w:cs="Tahoma"/>
      <w:b/>
      <w:bCs/>
      <w:sz w:val="48"/>
      <w:szCs w:val="48"/>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BalloonText"/>
    <w:semiHidden/>
    <w:qFormat/>
    <w:rsid w:val="00241721"/>
    <w:rPr>
      <w:rFonts w:ascii="Tahoma" w:hAnsi="Tahoma" w:eastAsia="Times New Roman" w:cs="Tahoma"/>
      <w:sz w:val="16"/>
      <w:szCs w:val="16"/>
      <w:lang w:eastAsia="pl-PL"/>
    </w:rPr>
  </w:style>
  <w:style w:type="character" w:styleId="NagwekZnak" w:customStyle="1">
    <w:name w:val="Nagłówek Znak"/>
    <w:basedOn w:val="DefaultParagraphFont"/>
    <w:link w:val="Header"/>
    <w:qFormat/>
    <w:rsid w:val="00241721"/>
    <w:rPr>
      <w:rFonts w:ascii="Times New Roman" w:hAnsi="Times New Roman" w:eastAsia="Times New Roman" w:cs="Times New Roman"/>
      <w:sz w:val="24"/>
      <w:szCs w:val="24"/>
    </w:rPr>
  </w:style>
  <w:style w:type="character" w:styleId="StopkaZnak" w:customStyle="1">
    <w:name w:val="Stopka Znak"/>
    <w:basedOn w:val="DefaultParagraphFont"/>
    <w:link w:val="Footer"/>
    <w:uiPriority w:val="99"/>
    <w:qFormat/>
    <w:rsid w:val="00241721"/>
    <w:rPr>
      <w:rFonts w:ascii="Times New Roman" w:hAnsi="Times New Roman" w:eastAsia="Times New Roman" w:cs="Times New Roman"/>
      <w:sz w:val="24"/>
      <w:szCs w:val="24"/>
    </w:rPr>
  </w:style>
  <w:style w:type="character" w:styleId="TekstprzypisukocowegoZnak" w:customStyle="1">
    <w:name w:val="Tekst przypisu końcowego Znak"/>
    <w:basedOn w:val="DefaultParagraphFont"/>
    <w:link w:val="Endnote"/>
    <w:qFormat/>
    <w:rsid w:val="00241721"/>
    <w:rPr>
      <w:rFonts w:ascii="Times New Roman" w:hAnsi="Times New Roman" w:eastAsia="Times New Roman" w:cs="Times New Roman"/>
      <w:sz w:val="20"/>
      <w:szCs w:val="20"/>
      <w:lang w:eastAsia="pl-PL"/>
    </w:rPr>
  </w:style>
  <w:style w:type="character" w:styleId="EndnoteCharacters">
    <w:name w:val="Endnote Characters"/>
    <w:qFormat/>
    <w:rsid w:val="00241721"/>
    <w:rPr>
      <w:vertAlign w:val="superscript"/>
    </w:rPr>
  </w:style>
  <w:style w:type="character" w:styleId="EndnoteAnchor">
    <w:name w:val="Endnote Reference"/>
    <w:rPr>
      <w:vertAlign w:val="superscript"/>
    </w:rPr>
  </w:style>
  <w:style w:type="character" w:styleId="Annotationreference">
    <w:name w:val="annotation reference"/>
    <w:qFormat/>
    <w:rsid w:val="00241721"/>
    <w:rPr>
      <w:sz w:val="16"/>
      <w:szCs w:val="16"/>
    </w:rPr>
  </w:style>
  <w:style w:type="character" w:styleId="TekstkomentarzaZnak" w:customStyle="1">
    <w:name w:val="Tekst komentarza Znak"/>
    <w:basedOn w:val="DefaultParagraphFont"/>
    <w:link w:val="Annotationtext"/>
    <w:qFormat/>
    <w:rsid w:val="00241721"/>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Annotationsubject"/>
    <w:qFormat/>
    <w:rsid w:val="00241721"/>
    <w:rPr>
      <w:rFonts w:ascii="Times New Roman" w:hAnsi="Times New Roman" w:eastAsia="Times New Roman" w:cs="Times New Roman"/>
      <w:b/>
      <w:bCs/>
      <w:sz w:val="20"/>
      <w:szCs w:val="20"/>
      <w:lang w:eastAsia="pl-P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TekstdymkaZnak"/>
    <w:semiHidden/>
    <w:qFormat/>
    <w:rsid w:val="00241721"/>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NagwekZnak"/>
    <w:rsid w:val="00241721"/>
    <w:pPr>
      <w:tabs>
        <w:tab w:val="clear" w:pos="708"/>
        <w:tab w:val="center" w:pos="4536" w:leader="none"/>
        <w:tab w:val="right" w:pos="9072" w:leader="none"/>
      </w:tabs>
    </w:pPr>
    <w:rPr/>
  </w:style>
  <w:style w:type="paragraph" w:styleId="Footer">
    <w:name w:val="Footer"/>
    <w:basedOn w:val="Normal"/>
    <w:link w:val="StopkaZnak"/>
    <w:uiPriority w:val="99"/>
    <w:rsid w:val="00241721"/>
    <w:pPr>
      <w:tabs>
        <w:tab w:val="clear" w:pos="708"/>
        <w:tab w:val="center" w:pos="4536" w:leader="none"/>
        <w:tab w:val="right" w:pos="9072" w:leader="none"/>
      </w:tabs>
    </w:pPr>
    <w:rPr/>
  </w:style>
  <w:style w:type="paragraph" w:styleId="Endnote">
    <w:name w:val="Endnote Text"/>
    <w:basedOn w:val="Normal"/>
    <w:link w:val="TekstprzypisukocowegoZnak"/>
    <w:rsid w:val="00241721"/>
    <w:pPr/>
    <w:rPr>
      <w:sz w:val="20"/>
      <w:szCs w:val="20"/>
    </w:rPr>
  </w:style>
  <w:style w:type="paragraph" w:styleId="Annotationtext">
    <w:name w:val="annotation text"/>
    <w:basedOn w:val="Normal"/>
    <w:link w:val="TekstkomentarzaZnak"/>
    <w:qFormat/>
    <w:rsid w:val="00241721"/>
    <w:pPr/>
    <w:rPr>
      <w:sz w:val="20"/>
      <w:szCs w:val="20"/>
    </w:rPr>
  </w:style>
  <w:style w:type="paragraph" w:styleId="Annotationsubject">
    <w:name w:val="annotation subject"/>
    <w:basedOn w:val="Annotationtext"/>
    <w:next w:val="Annotationtext"/>
    <w:link w:val="TematkomentarzaZnak"/>
    <w:qFormat/>
    <w:rsid w:val="00241721"/>
    <w:pPr/>
    <w:rPr>
      <w:b/>
      <w:bCs/>
    </w:rPr>
  </w:style>
  <w:style w:type="paragraph" w:styleId="ListParagraph">
    <w:name w:val="List Paragraph"/>
    <w:basedOn w:val="Normal"/>
    <w:uiPriority w:val="34"/>
    <w:qFormat/>
    <w:rsid w:val="00965715"/>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rsid w:val="00241721"/>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537E7-F7BF-4582-BAD6-3559F443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Application>LibreOffice/7.4.0.3$Windows_X86_64 LibreOffice_project/f85e47c08ddd19c015c0114a68350214f7066f5a</Application>
  <AppVersion>15.0000</AppVersion>
  <Pages>2</Pages>
  <Words>603</Words>
  <Characters>3453</Characters>
  <CharactersWithSpaces>4020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2022-02-23T04:48:00Z</dcterms:created>
  <dc:creator>Lukasz</dc:creator>
  <dc:description/>
  <dc:language>en-US</dc:language>
  <cp:lastModifiedBy/>
  <cp:lastPrinted>2014-04-03T06:14:00Z</cp:lastPrinted>
  <dcterms:modified xsi:type="dcterms:W3CDTF">2023-03-27T11:24:50Z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file>